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Table Rock Pharmacy COVID-19 Oral Antiviral Workflow Policy and Procedures</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Policy:</w:t>
      </w:r>
    </w:p>
    <w:p w:rsidR="00000000" w:rsidDel="00000000" w:rsidP="00000000" w:rsidRDefault="00000000" w:rsidRPr="00000000" w14:paraId="00000004">
      <w:pPr>
        <w:pageBreakBefore w:val="0"/>
        <w:rPr/>
      </w:pPr>
      <w:r w:rsidDel="00000000" w:rsidR="00000000" w:rsidRPr="00000000">
        <w:rPr>
          <w:rtl w:val="0"/>
        </w:rPr>
        <w:t xml:space="preserve">This document provides guidance for COVID-19 oral antiviral prescription analysis and workflow.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Procedures:</w:t>
      </w:r>
    </w:p>
    <w:p w:rsidR="00000000" w:rsidDel="00000000" w:rsidP="00000000" w:rsidRDefault="00000000" w:rsidRPr="00000000" w14:paraId="00000007">
      <w:pPr>
        <w:pageBreakBefore w:val="0"/>
        <w:rPr>
          <w:b w:val="1"/>
        </w:rPr>
      </w:pP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b w:val="1"/>
          <w:rtl w:val="0"/>
        </w:rPr>
        <w:t xml:space="preserve">Helpful Resources:</w:t>
      </w:r>
    </w:p>
    <w:p w:rsidR="00000000" w:rsidDel="00000000" w:rsidP="00000000" w:rsidRDefault="00000000" w:rsidRPr="00000000" w14:paraId="00000009">
      <w:pPr>
        <w:pageBreakBefore w:val="0"/>
        <w:rPr/>
      </w:pPr>
      <w:r w:rsidDel="00000000" w:rsidR="00000000" w:rsidRPr="00000000">
        <w:rPr>
          <w:rtl w:val="0"/>
        </w:rPr>
        <w:t xml:space="preserve">Internal Purposes:</w:t>
      </w:r>
    </w:p>
    <w:p w:rsidR="00000000" w:rsidDel="00000000" w:rsidP="00000000" w:rsidRDefault="00000000" w:rsidRPr="00000000" w14:paraId="0000000A">
      <w:pPr>
        <w:pageBreakBefore w:val="0"/>
        <w:numPr>
          <w:ilvl w:val="0"/>
          <w:numId w:val="2"/>
        </w:numPr>
        <w:ind w:left="720" w:hanging="360"/>
      </w:pPr>
      <w:hyperlink r:id="rId6">
        <w:r w:rsidDel="00000000" w:rsidR="00000000" w:rsidRPr="00000000">
          <w:rPr>
            <w:color w:val="1155cc"/>
            <w:u w:val="single"/>
            <w:rtl w:val="0"/>
          </w:rPr>
          <w:t xml:space="preserve">CPESN COVID-19 Oral Antiviral Guide</w:t>
        </w:r>
      </w:hyperlink>
      <w:r w:rsidDel="00000000" w:rsidR="00000000" w:rsidRPr="00000000">
        <w:rPr>
          <w:rtl w:val="0"/>
        </w:rPr>
        <w:t xml:space="preserve"> </w:t>
      </w:r>
    </w:p>
    <w:p w:rsidR="00000000" w:rsidDel="00000000" w:rsidP="00000000" w:rsidRDefault="00000000" w:rsidRPr="00000000" w14:paraId="0000000B">
      <w:pPr>
        <w:numPr>
          <w:ilvl w:val="0"/>
          <w:numId w:val="2"/>
        </w:numPr>
        <w:ind w:left="720" w:hanging="360"/>
      </w:pPr>
      <w:hyperlink r:id="rId7">
        <w:r w:rsidDel="00000000" w:rsidR="00000000" w:rsidRPr="00000000">
          <w:rPr>
            <w:color w:val="1155cc"/>
            <w:u w:val="single"/>
            <w:rtl w:val="0"/>
          </w:rPr>
          <w:t xml:space="preserve">NCPA COVID-19 Antivirals Dispensing and Reimbursement</w:t>
        </w:r>
      </w:hyperlink>
      <w:r w:rsidDel="00000000" w:rsidR="00000000" w:rsidRPr="00000000">
        <w:rPr>
          <w:rtl w:val="0"/>
        </w:rPr>
        <w:t xml:space="preserve"> </w:t>
      </w:r>
    </w:p>
    <w:p w:rsidR="00000000" w:rsidDel="00000000" w:rsidP="00000000" w:rsidRDefault="00000000" w:rsidRPr="00000000" w14:paraId="0000000C">
      <w:pPr>
        <w:numPr>
          <w:ilvl w:val="0"/>
          <w:numId w:val="2"/>
        </w:numPr>
        <w:spacing w:line="240" w:lineRule="auto"/>
        <w:ind w:left="720" w:hanging="360"/>
      </w:pPr>
      <w:bookmarkStart w:colFirst="0" w:colLast="0" w:name="_95kn711z4wvk" w:id="0"/>
      <w:bookmarkEnd w:id="0"/>
      <w:hyperlink r:id="rId8">
        <w:r w:rsidDel="00000000" w:rsidR="00000000" w:rsidRPr="00000000">
          <w:rPr>
            <w:color w:val="1155cc"/>
            <w:u w:val="single"/>
            <w:rtl w:val="0"/>
          </w:rPr>
          <w:t xml:space="preserve">VPoP</w:t>
        </w:r>
      </w:hyperlink>
      <w:r w:rsidDel="00000000" w:rsidR="00000000" w:rsidRPr="00000000">
        <w:rPr>
          <w:rtl w:val="0"/>
        </w:rPr>
        <w:t xml:space="preserve"> (to record inventory daily)</w:t>
      </w:r>
    </w:p>
    <w:p w:rsidR="00000000" w:rsidDel="00000000" w:rsidP="00000000" w:rsidRDefault="00000000" w:rsidRPr="00000000" w14:paraId="0000000D">
      <w:pPr>
        <w:spacing w:line="240" w:lineRule="auto"/>
        <w:ind w:left="0" w:firstLine="0"/>
        <w:rPr/>
      </w:pPr>
      <w:bookmarkStart w:colFirst="0" w:colLast="0" w:name="_ufjzile70q4g" w:id="1"/>
      <w:bookmarkEnd w:id="1"/>
      <w:r w:rsidDel="00000000" w:rsidR="00000000" w:rsidRPr="00000000">
        <w:rPr>
          <w:rtl w:val="0"/>
        </w:rPr>
        <w:t xml:space="preserve">External Purposes:</w:t>
      </w:r>
      <w:r w:rsidDel="00000000" w:rsidR="00000000" w:rsidRPr="00000000">
        <w:rPr>
          <w:rtl w:val="0"/>
        </w:rPr>
      </w:r>
    </w:p>
    <w:p w:rsidR="00000000" w:rsidDel="00000000" w:rsidP="00000000" w:rsidRDefault="00000000" w:rsidRPr="00000000" w14:paraId="0000000E">
      <w:pPr>
        <w:pageBreakBefore w:val="0"/>
        <w:numPr>
          <w:ilvl w:val="0"/>
          <w:numId w:val="2"/>
        </w:numPr>
        <w:ind w:left="720" w:hanging="360"/>
        <w:rPr>
          <w:u w:val="none"/>
        </w:rPr>
      </w:pPr>
      <w:hyperlink r:id="rId9">
        <w:r w:rsidDel="00000000" w:rsidR="00000000" w:rsidRPr="00000000">
          <w:rPr>
            <w:color w:val="1155cc"/>
            <w:u w:val="single"/>
            <w:rtl w:val="0"/>
          </w:rPr>
          <w:t xml:space="preserve">NCDHHS Therapeutics locator tool</w:t>
        </w:r>
      </w:hyperlink>
      <w:r w:rsidDel="00000000" w:rsidR="00000000" w:rsidRPr="00000000">
        <w:rPr>
          <w:rtl w:val="0"/>
        </w:rPr>
        <w:t xml:space="preserve"> (to find sites that have inventory in stock)</w:t>
      </w:r>
    </w:p>
    <w:p w:rsidR="00000000" w:rsidDel="00000000" w:rsidP="00000000" w:rsidRDefault="00000000" w:rsidRPr="00000000" w14:paraId="0000000F">
      <w:pPr>
        <w:pageBreakBefore w:val="0"/>
        <w:numPr>
          <w:ilvl w:val="0"/>
          <w:numId w:val="2"/>
        </w:numPr>
        <w:ind w:left="720" w:hanging="360"/>
        <w:rPr>
          <w:u w:val="none"/>
        </w:rPr>
      </w:pPr>
      <w:hyperlink r:id="rId10">
        <w:r w:rsidDel="00000000" w:rsidR="00000000" w:rsidRPr="00000000">
          <w:rPr>
            <w:color w:val="1155cc"/>
            <w:u w:val="single"/>
            <w:rtl w:val="0"/>
          </w:rPr>
          <w:t xml:space="preserve">NC Patient Prioritization Communication January 4, 2022</w:t>
        </w:r>
      </w:hyperlink>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rPr>
          <w:u w:val="none"/>
        </w:rPr>
      </w:pPr>
      <w:hyperlink r:id="rId11">
        <w:r w:rsidDel="00000000" w:rsidR="00000000" w:rsidRPr="00000000">
          <w:rPr>
            <w:color w:val="1155cc"/>
            <w:u w:val="single"/>
            <w:rtl w:val="0"/>
          </w:rPr>
          <w:t xml:space="preserve">NIH Patient Prioritization Criteria</w:t>
        </w:r>
      </w:hyperlink>
      <w:r w:rsidDel="00000000" w:rsidR="00000000" w:rsidRPr="00000000">
        <w:rPr>
          <w:rtl w:val="0"/>
        </w:rPr>
      </w:r>
    </w:p>
    <w:p w:rsidR="00000000" w:rsidDel="00000000" w:rsidP="00000000" w:rsidRDefault="00000000" w:rsidRPr="00000000" w14:paraId="00000011">
      <w:pPr>
        <w:pageBreakBefore w:val="0"/>
        <w:numPr>
          <w:ilvl w:val="0"/>
          <w:numId w:val="2"/>
        </w:numPr>
        <w:ind w:left="720" w:hanging="360"/>
        <w:rPr>
          <w:u w:val="none"/>
        </w:rPr>
      </w:pPr>
      <w:hyperlink r:id="rId12">
        <w:r w:rsidDel="00000000" w:rsidR="00000000" w:rsidRPr="00000000">
          <w:rPr>
            <w:color w:val="1155cc"/>
            <w:u w:val="single"/>
            <w:rtl w:val="0"/>
          </w:rPr>
          <w:t xml:space="preserve">CDC Underlying Conditions Associated with Higher Risk for Severe COVID-19</w:t>
        </w:r>
      </w:hyperlink>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Product Specific: </w:t>
      </w:r>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rPr>
          <w:u w:val="none"/>
        </w:rPr>
      </w:pPr>
      <w:hyperlink r:id="rId13">
        <w:r w:rsidDel="00000000" w:rsidR="00000000" w:rsidRPr="00000000">
          <w:rPr>
            <w:color w:val="1155cc"/>
            <w:u w:val="single"/>
            <w:rtl w:val="0"/>
          </w:rPr>
          <w:t xml:space="preserve">Paxlovid Provider Fact Sheet</w:t>
        </w:r>
      </w:hyperlink>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u w:val="none"/>
        </w:rPr>
      </w:pPr>
      <w:hyperlink r:id="rId14">
        <w:r w:rsidDel="00000000" w:rsidR="00000000" w:rsidRPr="00000000">
          <w:rPr>
            <w:color w:val="1155cc"/>
            <w:u w:val="single"/>
            <w:rtl w:val="0"/>
          </w:rPr>
          <w:t xml:space="preserve">Paxlovid Patient Fact Sheet</w:t>
        </w:r>
      </w:hyperlink>
      <w:r w:rsidDel="00000000" w:rsidR="00000000" w:rsidRPr="00000000">
        <w:rPr>
          <w:rtl w:val="0"/>
        </w:rPr>
        <w:t xml:space="preserve"> (click </w:t>
      </w:r>
      <w:hyperlink r:id="rId15">
        <w:r w:rsidDel="00000000" w:rsidR="00000000" w:rsidRPr="00000000">
          <w:rPr>
            <w:color w:val="1155cc"/>
            <w:u w:val="single"/>
            <w:rtl w:val="0"/>
          </w:rPr>
          <w:t xml:space="preserve">here</w:t>
        </w:r>
      </w:hyperlink>
      <w:r w:rsidDel="00000000" w:rsidR="00000000" w:rsidRPr="00000000">
        <w:rPr>
          <w:rtl w:val="0"/>
        </w:rPr>
        <w:t xml:space="preserve"> for Spanish) </w:t>
      </w:r>
    </w:p>
    <w:p w:rsidR="00000000" w:rsidDel="00000000" w:rsidP="00000000" w:rsidRDefault="00000000" w:rsidRPr="00000000" w14:paraId="00000015">
      <w:pPr>
        <w:numPr>
          <w:ilvl w:val="0"/>
          <w:numId w:val="2"/>
        </w:numPr>
        <w:ind w:left="720" w:hanging="360"/>
      </w:pPr>
      <w:hyperlink r:id="rId16">
        <w:r w:rsidDel="00000000" w:rsidR="00000000" w:rsidRPr="00000000">
          <w:rPr>
            <w:color w:val="1155cc"/>
            <w:u w:val="single"/>
            <w:rtl w:val="0"/>
          </w:rPr>
          <w:t xml:space="preserve">FDA Molnupiravir Prescriber Checklist</w:t>
        </w:r>
      </w:hyperlink>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rPr>
          <w:u w:val="none"/>
        </w:rPr>
      </w:pPr>
      <w:hyperlink r:id="rId17">
        <w:r w:rsidDel="00000000" w:rsidR="00000000" w:rsidRPr="00000000">
          <w:rPr>
            <w:color w:val="1155cc"/>
            <w:u w:val="single"/>
            <w:rtl w:val="0"/>
          </w:rPr>
          <w:t xml:space="preserve">Molnupiravir Provider Fact Sheet</w:t>
        </w:r>
      </w:hyperlink>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u w:val="none"/>
        </w:rPr>
      </w:pPr>
      <w:hyperlink r:id="rId18">
        <w:r w:rsidDel="00000000" w:rsidR="00000000" w:rsidRPr="00000000">
          <w:rPr>
            <w:color w:val="1155cc"/>
            <w:u w:val="single"/>
            <w:rtl w:val="0"/>
          </w:rPr>
          <w:t xml:space="preserve">Molnupiravir Patient Fact Sheet</w:t>
        </w:r>
      </w:hyperlink>
      <w:r w:rsidDel="00000000" w:rsidR="00000000" w:rsidRPr="00000000">
        <w:rPr>
          <w:rtl w:val="0"/>
        </w:rPr>
        <w:t xml:space="preserve"> (click </w:t>
      </w:r>
      <w:hyperlink r:id="rId19">
        <w:r w:rsidDel="00000000" w:rsidR="00000000" w:rsidRPr="00000000">
          <w:rPr>
            <w:color w:val="1155cc"/>
            <w:u w:val="single"/>
            <w:rtl w:val="0"/>
          </w:rPr>
          <w:t xml:space="preserve">here</w:t>
        </w:r>
      </w:hyperlink>
      <w:r w:rsidDel="00000000" w:rsidR="00000000" w:rsidRPr="00000000">
        <w:rPr>
          <w:rtl w:val="0"/>
        </w:rPr>
        <w:t xml:space="preserve"> for Spanish) </w:t>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pageBreakBefore w:val="0"/>
        <w:ind w:left="0" w:firstLine="0"/>
        <w:rPr>
          <w:b w:val="1"/>
        </w:rPr>
      </w:pPr>
      <w:r w:rsidDel="00000000" w:rsidR="00000000" w:rsidRPr="00000000">
        <w:rPr>
          <w:b w:val="1"/>
          <w:rtl w:val="0"/>
        </w:rPr>
        <w:t xml:space="preserve">Pharmacist Responsibilities:</w:t>
      </w:r>
    </w:p>
    <w:p w:rsidR="00000000" w:rsidDel="00000000" w:rsidP="00000000" w:rsidRDefault="00000000" w:rsidRPr="00000000" w14:paraId="0000001A">
      <w:pPr>
        <w:pageBreakBefore w:val="0"/>
        <w:ind w:left="0" w:firstLine="0"/>
        <w:rPr/>
      </w:pPr>
      <w:r w:rsidDel="00000000" w:rsidR="00000000" w:rsidRPr="00000000">
        <w:rPr>
          <w:rtl w:val="0"/>
        </w:rPr>
        <w:t xml:space="preserve">General:</w:t>
      </w:r>
    </w:p>
    <w:p w:rsidR="00000000" w:rsidDel="00000000" w:rsidP="00000000" w:rsidRDefault="00000000" w:rsidRPr="00000000" w14:paraId="0000001B">
      <w:pPr>
        <w:pageBreakBefore w:val="0"/>
        <w:numPr>
          <w:ilvl w:val="0"/>
          <w:numId w:val="2"/>
        </w:numPr>
        <w:ind w:left="720" w:hanging="360"/>
        <w:rPr>
          <w:u w:val="none"/>
        </w:rPr>
      </w:pPr>
      <w:r w:rsidDel="00000000" w:rsidR="00000000" w:rsidRPr="00000000">
        <w:rPr>
          <w:rtl w:val="0"/>
        </w:rPr>
        <w:t xml:space="preserve">Dispense the oral covid-19 antiviral therapy with a valid prescription from a physician, advanced practice registered nurse, or physician assistant per the FDA EUAs.</w:t>
      </w:r>
    </w:p>
    <w:p w:rsidR="00000000" w:rsidDel="00000000" w:rsidP="00000000" w:rsidRDefault="00000000" w:rsidRPr="00000000" w14:paraId="0000001C">
      <w:pPr>
        <w:pageBreakBefore w:val="0"/>
        <w:numPr>
          <w:ilvl w:val="0"/>
          <w:numId w:val="2"/>
        </w:numPr>
        <w:ind w:left="720" w:hanging="360"/>
        <w:rPr>
          <w:u w:val="none"/>
        </w:rPr>
      </w:pPr>
      <w:r w:rsidDel="00000000" w:rsidR="00000000" w:rsidRPr="00000000">
        <w:rPr>
          <w:rtl w:val="0"/>
        </w:rPr>
        <w:t xml:space="preserve">Verification of time since symptom onset. Patient needs to start therapy within 5 days of symptom onset. </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Provide patient counseling for the oral antiviral product being dispensed (see table at the end of this document for common side effects, etc.). To limit exposure to the patient, call the patient before they arrive and counsel them over the phone. Ask that they call us when they arrive, stay in their car and wear a face mask.</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Provide Antiviral Fact Sheet for the Patient (print out and bag with prescription). </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Report adverse events and medication errors to FDA MedWatch (details follow). </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Document course inventory and administration numbers daily within VPoP (details follow).</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Patient Prescription Details:</w:t>
      </w:r>
    </w:p>
    <w:p w:rsidR="00000000" w:rsidDel="00000000" w:rsidP="00000000" w:rsidRDefault="00000000" w:rsidRPr="00000000" w14:paraId="00000026">
      <w:pPr>
        <w:pageBreakBefore w:val="0"/>
        <w:numPr>
          <w:ilvl w:val="0"/>
          <w:numId w:val="2"/>
        </w:numPr>
        <w:ind w:left="720" w:hanging="360"/>
        <w:rPr>
          <w:u w:val="none"/>
        </w:rPr>
      </w:pPr>
      <w:r w:rsidDel="00000000" w:rsidR="00000000" w:rsidRPr="00000000">
        <w:rPr>
          <w:rtl w:val="0"/>
        </w:rPr>
        <w:t xml:space="preserve">Prescriber is supposed to have fill by date on the prescription or noting on the prescription how many days the patient is into symptom onset. If not, call the provider’s office to get this information and add it to the prescription. </w:t>
      </w:r>
    </w:p>
    <w:p w:rsidR="00000000" w:rsidDel="00000000" w:rsidP="00000000" w:rsidRDefault="00000000" w:rsidRPr="00000000" w14:paraId="00000027">
      <w:pPr>
        <w:numPr>
          <w:ilvl w:val="0"/>
          <w:numId w:val="2"/>
        </w:numPr>
        <w:spacing w:line="276" w:lineRule="auto"/>
        <w:ind w:left="720" w:hanging="360"/>
      </w:pPr>
      <w:r w:rsidDel="00000000" w:rsidR="00000000" w:rsidRPr="00000000">
        <w:rPr>
          <w:rtl w:val="0"/>
        </w:rPr>
        <w:t xml:space="preserve">We request that prescriptions for either medication include:</w:t>
      </w:r>
    </w:p>
    <w:p w:rsidR="00000000" w:rsidDel="00000000" w:rsidP="00000000" w:rsidRDefault="00000000" w:rsidRPr="00000000" w14:paraId="00000028">
      <w:pPr>
        <w:numPr>
          <w:ilvl w:val="1"/>
          <w:numId w:val="2"/>
        </w:numPr>
        <w:spacing w:line="276" w:lineRule="auto"/>
        <w:ind w:left="1440" w:hanging="360"/>
      </w:pPr>
      <w:r w:rsidDel="00000000" w:rsidR="00000000" w:rsidRPr="00000000">
        <w:rPr>
          <w:rtl w:val="0"/>
        </w:rPr>
        <w:t xml:space="preserve">Symptom onset date (both medications must be started within 5 days of symptom onset)</w:t>
      </w:r>
    </w:p>
    <w:p w:rsidR="00000000" w:rsidDel="00000000" w:rsidP="00000000" w:rsidRDefault="00000000" w:rsidRPr="00000000" w14:paraId="00000029">
      <w:pPr>
        <w:numPr>
          <w:ilvl w:val="1"/>
          <w:numId w:val="2"/>
        </w:numPr>
        <w:spacing w:line="276" w:lineRule="auto"/>
        <w:ind w:left="1440" w:hanging="360"/>
      </w:pPr>
      <w:r w:rsidDel="00000000" w:rsidR="00000000" w:rsidRPr="00000000">
        <w:rPr>
          <w:rtl w:val="0"/>
        </w:rPr>
        <w:t xml:space="preserve">Date of positive COVID test</w:t>
      </w:r>
    </w:p>
    <w:p w:rsidR="00000000" w:rsidDel="00000000" w:rsidP="00000000" w:rsidRDefault="00000000" w:rsidRPr="00000000" w14:paraId="0000002A">
      <w:pPr>
        <w:numPr>
          <w:ilvl w:val="1"/>
          <w:numId w:val="2"/>
        </w:numPr>
        <w:spacing w:line="276" w:lineRule="auto"/>
        <w:ind w:left="1440" w:hanging="360"/>
      </w:pPr>
      <w:r w:rsidDel="00000000" w:rsidR="00000000" w:rsidRPr="00000000">
        <w:rPr>
          <w:rtl w:val="0"/>
        </w:rPr>
        <w:t xml:space="preserve">What qualifies the patient as high-risk</w:t>
      </w:r>
    </w:p>
    <w:p w:rsidR="00000000" w:rsidDel="00000000" w:rsidP="00000000" w:rsidRDefault="00000000" w:rsidRPr="00000000" w14:paraId="0000002B">
      <w:pPr>
        <w:spacing w:line="276" w:lineRule="auto"/>
        <w:ind w:left="1440" w:firstLine="0"/>
        <w:rPr/>
      </w:pPr>
      <w:r w:rsidDel="00000000" w:rsidR="00000000" w:rsidRPr="00000000">
        <w:rPr>
          <w:rtl w:val="0"/>
        </w:rPr>
      </w:r>
    </w:p>
    <w:p w:rsidR="00000000" w:rsidDel="00000000" w:rsidP="00000000" w:rsidRDefault="00000000" w:rsidRPr="00000000" w14:paraId="0000002C">
      <w:pPr>
        <w:pageBreakBefore w:val="0"/>
        <w:ind w:left="0" w:firstLine="0"/>
        <w:rPr/>
      </w:pPr>
      <w:r w:rsidDel="00000000" w:rsidR="00000000" w:rsidRPr="00000000">
        <w:rPr>
          <w:rtl w:val="0"/>
        </w:rPr>
        <w:t xml:space="preserve">Specific Medication Considerations - Paxlovid:</w:t>
      </w:r>
    </w:p>
    <w:p w:rsidR="00000000" w:rsidDel="00000000" w:rsidP="00000000" w:rsidRDefault="00000000" w:rsidRPr="00000000" w14:paraId="0000002D">
      <w:pPr>
        <w:pageBreakBefore w:val="0"/>
        <w:numPr>
          <w:ilvl w:val="0"/>
          <w:numId w:val="2"/>
        </w:numPr>
        <w:ind w:left="720" w:hanging="360"/>
        <w:rPr>
          <w:u w:val="none"/>
        </w:rPr>
      </w:pPr>
      <w:r w:rsidDel="00000000" w:rsidR="00000000" w:rsidRPr="00000000">
        <w:rPr>
          <w:rtl w:val="0"/>
        </w:rPr>
        <w:t xml:space="preserve">Ask the provider’s office and/or patient for a current medication list. Using eFacts, or another resource, run a drug interaction check. Counsel patients appropriately (e.g. not starting Paxlovid until 12 hours after the last dose of simvastatin and holding simvastatin for the duration of Paxlovid therapy).</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Remove tablets if the patient has moderate renal impairment (prescriber is responsible for notating renal dosage adjustment on prescription). </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Specific Medication Considerations - Molnupiravir:</w:t>
      </w:r>
    </w:p>
    <w:p w:rsidR="00000000" w:rsidDel="00000000" w:rsidP="00000000" w:rsidRDefault="00000000" w:rsidRPr="00000000" w14:paraId="00000031">
      <w:pPr>
        <w:pageBreakBefore w:val="0"/>
        <w:numPr>
          <w:ilvl w:val="0"/>
          <w:numId w:val="3"/>
        </w:numPr>
        <w:ind w:left="720" w:hanging="360"/>
        <w:rPr>
          <w:u w:val="none"/>
        </w:rPr>
      </w:pPr>
      <w:r w:rsidDel="00000000" w:rsidR="00000000" w:rsidRPr="00000000">
        <w:rPr>
          <w:rtl w:val="0"/>
        </w:rPr>
        <w:t xml:space="preserve">Females of childbearing potential treated: should use a reliable method of contraception correctly and consistently, as applicable, for the duration of treatment and for 4 days after the last dose of molnupiravir.</w:t>
      </w:r>
    </w:p>
    <w:p w:rsidR="00000000" w:rsidDel="00000000" w:rsidP="00000000" w:rsidRDefault="00000000" w:rsidRPr="00000000" w14:paraId="00000032">
      <w:pPr>
        <w:pageBreakBefore w:val="0"/>
        <w:numPr>
          <w:ilvl w:val="0"/>
          <w:numId w:val="3"/>
        </w:numPr>
        <w:ind w:left="720" w:hanging="360"/>
        <w:rPr>
          <w:u w:val="none"/>
        </w:rPr>
      </w:pPr>
      <w:r w:rsidDel="00000000" w:rsidR="00000000" w:rsidRPr="00000000">
        <w:rPr>
          <w:rtl w:val="0"/>
        </w:rPr>
        <w:t xml:space="preserve">Males of reproductive potential treated: if sexually active with females of childbearing potential, should use a reliable method of contraception correctly and consistently during treatment and for at least 3 months after the last dose.</w:t>
      </w: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spacing w:line="240" w:lineRule="auto"/>
        <w:ind w:left="0" w:firstLine="0"/>
        <w:rPr>
          <w:b w:val="1"/>
        </w:rPr>
      </w:pPr>
      <w:bookmarkStart w:colFirst="0" w:colLast="0" w:name="_gjdgxs" w:id="2"/>
      <w:bookmarkEnd w:id="2"/>
      <w:r w:rsidDel="00000000" w:rsidR="00000000" w:rsidRPr="00000000">
        <w:rPr>
          <w:b w:val="1"/>
          <w:rtl w:val="0"/>
        </w:rPr>
        <w:t xml:space="preserve">Required Reporting for Serious Adverse Events and Medication Errors: </w:t>
      </w:r>
    </w:p>
    <w:p w:rsidR="00000000" w:rsidDel="00000000" w:rsidP="00000000" w:rsidRDefault="00000000" w:rsidRPr="00000000" w14:paraId="00000035">
      <w:pPr>
        <w:pageBreakBefore w:val="0"/>
        <w:spacing w:line="240" w:lineRule="auto"/>
        <w:ind w:left="0" w:firstLine="0"/>
        <w:rPr/>
      </w:pPr>
      <w:bookmarkStart w:colFirst="0" w:colLast="0" w:name="_et7jcr1lcb8c" w:id="3"/>
      <w:bookmarkEnd w:id="3"/>
      <w:r w:rsidDel="00000000" w:rsidR="00000000" w:rsidRPr="00000000">
        <w:rPr>
          <w:rtl w:val="0"/>
        </w:rPr>
        <w:t xml:space="preserve">Note: Review each Fact Sheet for a list of serious adverse events</w:t>
      </w:r>
    </w:p>
    <w:p w:rsidR="00000000" w:rsidDel="00000000" w:rsidP="00000000" w:rsidRDefault="00000000" w:rsidRPr="00000000" w14:paraId="00000036">
      <w:pPr>
        <w:pageBreakBefore w:val="0"/>
        <w:spacing w:line="240" w:lineRule="auto"/>
        <w:ind w:left="0" w:firstLine="0"/>
        <w:rPr/>
      </w:pPr>
      <w:bookmarkStart w:colFirst="0" w:colLast="0" w:name="_kal1gk3rq9ze" w:id="4"/>
      <w:bookmarkEnd w:id="4"/>
      <w:r w:rsidDel="00000000" w:rsidR="00000000" w:rsidRPr="00000000">
        <w:rPr>
          <w:rtl w:val="0"/>
        </w:rPr>
      </w:r>
    </w:p>
    <w:p w:rsidR="00000000" w:rsidDel="00000000" w:rsidP="00000000" w:rsidRDefault="00000000" w:rsidRPr="00000000" w14:paraId="00000037">
      <w:pPr>
        <w:pageBreakBefore w:val="0"/>
        <w:spacing w:line="276" w:lineRule="auto"/>
        <w:ind w:left="0" w:firstLine="0"/>
        <w:rPr/>
      </w:pPr>
      <w:bookmarkStart w:colFirst="0" w:colLast="0" w:name="_fe3hprq7dy0j" w:id="5"/>
      <w:bookmarkEnd w:id="5"/>
      <w:r w:rsidDel="00000000" w:rsidR="00000000" w:rsidRPr="00000000">
        <w:rPr>
          <w:rtl w:val="0"/>
        </w:rPr>
        <w:t xml:space="preserve">Submit adverse event and medication error reports, using Form 3500, to FDA MedWatch using one of the following methods: </w:t>
      </w:r>
    </w:p>
    <w:p w:rsidR="00000000" w:rsidDel="00000000" w:rsidP="00000000" w:rsidRDefault="00000000" w:rsidRPr="00000000" w14:paraId="00000038">
      <w:pPr>
        <w:pageBreakBefore w:val="0"/>
        <w:numPr>
          <w:ilvl w:val="0"/>
          <w:numId w:val="4"/>
        </w:numPr>
        <w:spacing w:line="276" w:lineRule="auto"/>
        <w:ind w:left="720" w:hanging="360"/>
        <w:rPr>
          <w:u w:val="none"/>
        </w:rPr>
      </w:pPr>
      <w:bookmarkStart w:colFirst="0" w:colLast="0" w:name="_x1s53rgsi4p3" w:id="6"/>
      <w:bookmarkEnd w:id="6"/>
      <w:r w:rsidDel="00000000" w:rsidR="00000000" w:rsidRPr="00000000">
        <w:rPr>
          <w:rtl w:val="0"/>
        </w:rPr>
        <w:t xml:space="preserve">Complete and submit the report online: </w:t>
      </w:r>
      <w:hyperlink r:id="rId20">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39">
      <w:pPr>
        <w:pageBreakBefore w:val="0"/>
        <w:numPr>
          <w:ilvl w:val="0"/>
          <w:numId w:val="4"/>
        </w:numPr>
        <w:spacing w:line="276" w:lineRule="auto"/>
        <w:ind w:left="720" w:hanging="360"/>
        <w:rPr>
          <w:u w:val="none"/>
        </w:rPr>
      </w:pPr>
      <w:bookmarkStart w:colFirst="0" w:colLast="0" w:name="_lapg789j38t" w:id="7"/>
      <w:bookmarkEnd w:id="7"/>
      <w:r w:rsidDel="00000000" w:rsidR="00000000" w:rsidRPr="00000000">
        <w:rPr>
          <w:rtl w:val="0"/>
        </w:rPr>
        <w:t xml:space="preserve">Complete and submit a postage-paid FDA Form 3500 (</w:t>
      </w:r>
      <w:hyperlink r:id="rId21">
        <w:r w:rsidDel="00000000" w:rsidR="00000000" w:rsidRPr="00000000">
          <w:rPr>
            <w:color w:val="1155cc"/>
            <w:u w:val="single"/>
            <w:rtl w:val="0"/>
          </w:rPr>
          <w:t xml:space="preserve">click here</w:t>
        </w:r>
      </w:hyperlink>
      <w:r w:rsidDel="00000000" w:rsidR="00000000" w:rsidRPr="00000000">
        <w:rPr>
          <w:rtl w:val="0"/>
        </w:rPr>
        <w:t xml:space="preserve">) and return by: Mail to MedWatch, 5600 Fishers Lane, Rockville, MD 20852-9787, or Fax to 1-800-FDA-0178. </w:t>
      </w:r>
    </w:p>
    <w:p w:rsidR="00000000" w:rsidDel="00000000" w:rsidP="00000000" w:rsidRDefault="00000000" w:rsidRPr="00000000" w14:paraId="0000003A">
      <w:pPr>
        <w:pageBreakBefore w:val="0"/>
        <w:numPr>
          <w:ilvl w:val="0"/>
          <w:numId w:val="4"/>
        </w:numPr>
        <w:spacing w:line="276" w:lineRule="auto"/>
        <w:ind w:left="720" w:hanging="360"/>
        <w:rPr>
          <w:u w:val="none"/>
        </w:rPr>
      </w:pPr>
      <w:bookmarkStart w:colFirst="0" w:colLast="0" w:name="_sy8nsb2svunf" w:id="8"/>
      <w:bookmarkEnd w:id="8"/>
      <w:r w:rsidDel="00000000" w:rsidR="00000000" w:rsidRPr="00000000">
        <w:rPr>
          <w:rtl w:val="0"/>
        </w:rPr>
        <w:t xml:space="preserve">Call 1-800-FDA-1088 to request a reporting form. </w:t>
      </w:r>
    </w:p>
    <w:p w:rsidR="00000000" w:rsidDel="00000000" w:rsidP="00000000" w:rsidRDefault="00000000" w:rsidRPr="00000000" w14:paraId="0000003B">
      <w:pPr>
        <w:pageBreakBefore w:val="0"/>
        <w:spacing w:line="276" w:lineRule="auto"/>
        <w:ind w:left="0" w:firstLine="0"/>
        <w:rPr/>
      </w:pPr>
      <w:bookmarkStart w:colFirst="0" w:colLast="0" w:name="_m46hu3cytqya" w:id="9"/>
      <w:bookmarkEnd w:id="9"/>
      <w:r w:rsidDel="00000000" w:rsidR="00000000" w:rsidRPr="00000000">
        <w:rPr>
          <w:rtl w:val="0"/>
        </w:rPr>
      </w:r>
    </w:p>
    <w:p w:rsidR="00000000" w:rsidDel="00000000" w:rsidP="00000000" w:rsidRDefault="00000000" w:rsidRPr="00000000" w14:paraId="0000003C">
      <w:pPr>
        <w:pageBreakBefore w:val="0"/>
        <w:spacing w:line="276" w:lineRule="auto"/>
        <w:ind w:left="0" w:firstLine="0"/>
        <w:rPr/>
      </w:pPr>
      <w:bookmarkStart w:colFirst="0" w:colLast="0" w:name="_y36b017fc7ah" w:id="10"/>
      <w:bookmarkEnd w:id="10"/>
      <w:r w:rsidDel="00000000" w:rsidR="00000000" w:rsidRPr="00000000">
        <w:rPr>
          <w:rtl w:val="0"/>
        </w:rPr>
        <w:t xml:space="preserve">Additional steps for each product for reporting serious adverse events and medication errors:</w:t>
      </w:r>
    </w:p>
    <w:p w:rsidR="00000000" w:rsidDel="00000000" w:rsidP="00000000" w:rsidRDefault="00000000" w:rsidRPr="00000000" w14:paraId="0000003D">
      <w:pPr>
        <w:pageBreakBefore w:val="0"/>
        <w:numPr>
          <w:ilvl w:val="0"/>
          <w:numId w:val="5"/>
        </w:numPr>
        <w:spacing w:line="276" w:lineRule="auto"/>
        <w:ind w:left="720" w:hanging="360"/>
        <w:rPr>
          <w:u w:val="none"/>
        </w:rPr>
      </w:pPr>
      <w:bookmarkStart w:colFirst="0" w:colLast="0" w:name="_7rx9k8zeta4m" w:id="11"/>
      <w:bookmarkEnd w:id="11"/>
      <w:r w:rsidDel="00000000" w:rsidR="00000000" w:rsidRPr="00000000">
        <w:rPr>
          <w:rtl w:val="0"/>
        </w:rPr>
        <w:t xml:space="preserve">Molnupiravir: In addition, provide a copy of all FDA MedWatch forms to: Merck Sharp &amp; Dohme Corp., a subsidiary of Merck &amp; Co., Inc., Kenilworth, NJ USA Fax: 215-616-5677 E-mail: dpoc.usa@msd.com </w:t>
      </w:r>
    </w:p>
    <w:p w:rsidR="00000000" w:rsidDel="00000000" w:rsidP="00000000" w:rsidRDefault="00000000" w:rsidRPr="00000000" w14:paraId="0000003E">
      <w:pPr>
        <w:pageBreakBefore w:val="0"/>
        <w:numPr>
          <w:ilvl w:val="0"/>
          <w:numId w:val="5"/>
        </w:numPr>
        <w:spacing w:line="276" w:lineRule="auto"/>
        <w:ind w:left="720" w:hanging="360"/>
        <w:rPr>
          <w:u w:val="none"/>
        </w:rPr>
      </w:pPr>
      <w:bookmarkStart w:colFirst="0" w:colLast="0" w:name="_vfq2365aiwqs" w:id="12"/>
      <w:bookmarkEnd w:id="12"/>
      <w:r w:rsidDel="00000000" w:rsidR="00000000" w:rsidRPr="00000000">
        <w:rPr>
          <w:rtl w:val="0"/>
        </w:rPr>
        <w:t xml:space="preserve">Paxlovid: In addition, provide a copy of all FDA MedWatch forms to Pfizer: www.pfizersafetyreporting.com; Fax #: 1-866-635-8337; Telephone #: 1-800-438-1985 </w:t>
      </w:r>
    </w:p>
    <w:p w:rsidR="00000000" w:rsidDel="00000000" w:rsidP="00000000" w:rsidRDefault="00000000" w:rsidRPr="00000000" w14:paraId="0000003F">
      <w:pPr>
        <w:pageBreakBefore w:val="0"/>
        <w:spacing w:line="240" w:lineRule="auto"/>
        <w:ind w:left="0" w:firstLine="0"/>
        <w:rPr/>
      </w:pPr>
      <w:bookmarkStart w:colFirst="0" w:colLast="0" w:name="_ulh7v7nj1xuf" w:id="13"/>
      <w:bookmarkEnd w:id="13"/>
      <w:r w:rsidDel="00000000" w:rsidR="00000000" w:rsidRPr="00000000">
        <w:rPr>
          <w:rtl w:val="0"/>
        </w:rPr>
      </w:r>
    </w:p>
    <w:p w:rsidR="00000000" w:rsidDel="00000000" w:rsidP="00000000" w:rsidRDefault="00000000" w:rsidRPr="00000000" w14:paraId="00000040">
      <w:pPr>
        <w:pageBreakBefore w:val="0"/>
        <w:spacing w:line="240" w:lineRule="auto"/>
        <w:ind w:left="0" w:firstLine="0"/>
        <w:rPr/>
      </w:pPr>
      <w:bookmarkStart w:colFirst="0" w:colLast="0" w:name="_tvk7x89szrzv" w:id="14"/>
      <w:bookmarkEnd w:id="14"/>
      <w:r w:rsidDel="00000000" w:rsidR="00000000" w:rsidRPr="00000000">
        <w:rPr>
          <w:b w:val="1"/>
          <w:rtl w:val="0"/>
        </w:rPr>
        <w:t xml:space="preserve">Instructions for Inventory/Administration Reporting for # of Courses:</w:t>
      </w:r>
      <w:r w:rsidDel="00000000" w:rsidR="00000000" w:rsidRPr="00000000">
        <w:rPr>
          <w:rtl w:val="0"/>
        </w:rPr>
        <w:t xml:space="preserve"> </w:t>
      </w:r>
    </w:p>
    <w:p w:rsidR="00000000" w:rsidDel="00000000" w:rsidP="00000000" w:rsidRDefault="00000000" w:rsidRPr="00000000" w14:paraId="00000041">
      <w:pPr>
        <w:pageBreakBefore w:val="0"/>
        <w:numPr>
          <w:ilvl w:val="0"/>
          <w:numId w:val="1"/>
        </w:numPr>
        <w:spacing w:line="240" w:lineRule="auto"/>
        <w:ind w:left="720" w:hanging="360"/>
        <w:rPr>
          <w:u w:val="none"/>
        </w:rPr>
      </w:pPr>
      <w:bookmarkStart w:colFirst="0" w:colLast="0" w:name="_95kn711z4wvk" w:id="0"/>
      <w:bookmarkEnd w:id="0"/>
      <w:r w:rsidDel="00000000" w:rsidR="00000000" w:rsidRPr="00000000">
        <w:rPr>
          <w:rtl w:val="0"/>
        </w:rPr>
        <w:t xml:space="preserve">Each pharmacy is required to report COVID-19 antiviral therapy inventory daily within </w:t>
      </w:r>
      <w:hyperlink r:id="rId22">
        <w:r w:rsidDel="00000000" w:rsidR="00000000" w:rsidRPr="00000000">
          <w:rPr>
            <w:color w:val="1155cc"/>
            <w:u w:val="single"/>
            <w:rtl w:val="0"/>
          </w:rPr>
          <w:t xml:space="preserve">VPoP</w:t>
        </w:r>
      </w:hyperlink>
      <w:r w:rsidDel="00000000" w:rsidR="00000000" w:rsidRPr="00000000">
        <w:rPr>
          <w:rtl w:val="0"/>
        </w:rPr>
        <w:t xml:space="preserve">. </w:t>
      </w:r>
    </w:p>
    <w:p w:rsidR="00000000" w:rsidDel="00000000" w:rsidP="00000000" w:rsidRDefault="00000000" w:rsidRPr="00000000" w14:paraId="00000042">
      <w:pPr>
        <w:pageBreakBefore w:val="0"/>
        <w:numPr>
          <w:ilvl w:val="0"/>
          <w:numId w:val="1"/>
        </w:numPr>
        <w:spacing w:line="240" w:lineRule="auto"/>
        <w:ind w:left="720" w:hanging="360"/>
        <w:rPr>
          <w:u w:val="none"/>
        </w:rPr>
      </w:pPr>
      <w:bookmarkStart w:colFirst="0" w:colLast="0" w:name="_dqzl0l5m7dvk" w:id="15"/>
      <w:bookmarkEnd w:id="15"/>
      <w:r w:rsidDel="00000000" w:rsidR="00000000" w:rsidRPr="00000000">
        <w:rPr>
          <w:rtl w:val="0"/>
        </w:rPr>
        <w:t xml:space="preserve">Enter the daily courses administered and courses available by clicking the white box and typing in a number value (see screenshot below). The column cell appears with a blue corner to indicate unsaved data. </w:t>
      </w:r>
    </w:p>
    <w:p w:rsidR="00000000" w:rsidDel="00000000" w:rsidP="00000000" w:rsidRDefault="00000000" w:rsidRPr="00000000" w14:paraId="00000043">
      <w:pPr>
        <w:pageBreakBefore w:val="0"/>
        <w:numPr>
          <w:ilvl w:val="0"/>
          <w:numId w:val="1"/>
        </w:numPr>
        <w:spacing w:line="240" w:lineRule="auto"/>
        <w:ind w:left="720" w:hanging="360"/>
        <w:rPr>
          <w:u w:val="none"/>
        </w:rPr>
      </w:pPr>
      <w:bookmarkStart w:colFirst="0" w:colLast="0" w:name="_7sq75ix4yura" w:id="16"/>
      <w:bookmarkEnd w:id="16"/>
      <w:r w:rsidDel="00000000" w:rsidR="00000000" w:rsidRPr="00000000">
        <w:rPr>
          <w:rtl w:val="0"/>
        </w:rPr>
        <w:t xml:space="preserve">Click “Save Therapeutic Courses'' and you will see a success message at the top of the page. </w:t>
      </w:r>
    </w:p>
    <w:p w:rsidR="00000000" w:rsidDel="00000000" w:rsidP="00000000" w:rsidRDefault="00000000" w:rsidRPr="00000000" w14:paraId="00000044">
      <w:pPr>
        <w:pageBreakBefore w:val="0"/>
        <w:numPr>
          <w:ilvl w:val="0"/>
          <w:numId w:val="1"/>
        </w:numPr>
        <w:spacing w:line="240" w:lineRule="auto"/>
        <w:ind w:left="720" w:hanging="360"/>
        <w:rPr>
          <w:u w:val="none"/>
        </w:rPr>
      </w:pPr>
      <w:bookmarkStart w:colFirst="0" w:colLast="0" w:name="_ifpuku1369ew" w:id="17"/>
      <w:bookmarkEnd w:id="17"/>
      <w:r w:rsidDel="00000000" w:rsidR="00000000" w:rsidRPr="00000000">
        <w:rPr>
          <w:rtl w:val="0"/>
        </w:rPr>
        <w:t xml:space="preserve">Example: On Day 1: The pharmacy receives 20 courses of molnupiravir and enters “20” in Courses Available. On Day 2, the pharmacy dispenses molnupiravir to 5 patients. At the end of Day 2, enter “5” in Courses Administered and “15” in Courses Available. At the end of Day 3, you can continue to enter the new number for courses available and courses administered. The History field will automatically update and will contain the previously entered information.</w:t>
      </w:r>
    </w:p>
    <w:p w:rsidR="00000000" w:rsidDel="00000000" w:rsidP="00000000" w:rsidRDefault="00000000" w:rsidRPr="00000000" w14:paraId="00000045">
      <w:pPr>
        <w:pageBreakBefore w:val="0"/>
        <w:spacing w:line="240" w:lineRule="auto"/>
        <w:ind w:left="720" w:firstLine="0"/>
        <w:rPr/>
      </w:pPr>
      <w:bookmarkStart w:colFirst="0" w:colLast="0" w:name="_i310jl4mt0dt" w:id="18"/>
      <w:bookmarkEnd w:id="18"/>
      <w:r w:rsidDel="00000000" w:rsidR="00000000" w:rsidRPr="00000000">
        <w:rPr>
          <w:rtl w:val="0"/>
        </w:rPr>
      </w:r>
    </w:p>
    <w:p w:rsidR="00000000" w:rsidDel="00000000" w:rsidP="00000000" w:rsidRDefault="00000000" w:rsidRPr="00000000" w14:paraId="00000046">
      <w:pPr>
        <w:pageBreakBefore w:val="0"/>
        <w:spacing w:line="240" w:lineRule="auto"/>
        <w:jc w:val="center"/>
        <w:rPr/>
      </w:pPr>
      <w:bookmarkStart w:colFirst="0" w:colLast="0" w:name="_eh44p7nvao5r" w:id="19"/>
      <w:bookmarkEnd w:id="19"/>
      <w:r w:rsidDel="00000000" w:rsidR="00000000" w:rsidRPr="00000000">
        <w:rPr/>
        <w:drawing>
          <wp:inline distB="114300" distT="114300" distL="114300" distR="114300">
            <wp:extent cx="3367088" cy="1926363"/>
            <wp:effectExtent b="0" l="0" r="0" t="0"/>
            <wp:docPr id="1"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3367088" cy="1926363"/>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ageBreakBefore w:val="0"/>
        <w:spacing w:line="240" w:lineRule="auto"/>
        <w:jc w:val="center"/>
        <w:rPr/>
      </w:pPr>
      <w:bookmarkStart w:colFirst="0" w:colLast="0" w:name="_xdlr19xsab07" w:id="20"/>
      <w:bookmarkEnd w:id="20"/>
      <w:r w:rsidDel="00000000" w:rsidR="00000000" w:rsidRPr="00000000">
        <w:rPr>
          <w:rtl w:val="0"/>
        </w:rPr>
      </w:r>
    </w:p>
    <w:p w:rsidR="00000000" w:rsidDel="00000000" w:rsidP="00000000" w:rsidRDefault="00000000" w:rsidRPr="00000000" w14:paraId="00000048">
      <w:pPr>
        <w:pageBreakBefore w:val="0"/>
        <w:spacing w:line="240" w:lineRule="auto"/>
        <w:jc w:val="center"/>
        <w:rPr/>
      </w:pPr>
      <w:bookmarkStart w:colFirst="0" w:colLast="0" w:name="_ob4zz3kj4n5q" w:id="21"/>
      <w:bookmarkEnd w:id="21"/>
      <w:r w:rsidDel="00000000" w:rsidR="00000000" w:rsidRPr="00000000">
        <w:rPr>
          <w:rtl w:val="0"/>
        </w:rPr>
      </w:r>
    </w:p>
    <w:p w:rsidR="00000000" w:rsidDel="00000000" w:rsidP="00000000" w:rsidRDefault="00000000" w:rsidRPr="00000000" w14:paraId="00000049">
      <w:pPr>
        <w:pageBreakBefore w:val="0"/>
        <w:spacing w:line="240" w:lineRule="auto"/>
        <w:jc w:val="center"/>
        <w:rPr/>
      </w:pPr>
      <w:bookmarkStart w:colFirst="0" w:colLast="0" w:name="_23sayirxqwy0" w:id="22"/>
      <w:bookmarkEnd w:id="22"/>
      <w:r w:rsidDel="00000000" w:rsidR="00000000" w:rsidRPr="00000000">
        <w:rPr>
          <w:rtl w:val="0"/>
        </w:rPr>
      </w:r>
    </w:p>
    <w:p w:rsidR="00000000" w:rsidDel="00000000" w:rsidP="00000000" w:rsidRDefault="00000000" w:rsidRPr="00000000" w14:paraId="0000004A">
      <w:pPr>
        <w:pageBreakBefore w:val="0"/>
        <w:spacing w:line="240" w:lineRule="auto"/>
        <w:jc w:val="center"/>
        <w:rPr/>
      </w:pPr>
      <w:bookmarkStart w:colFirst="0" w:colLast="0" w:name="_iiddasoennot" w:id="23"/>
      <w:bookmarkEnd w:id="23"/>
      <w:r w:rsidDel="00000000" w:rsidR="00000000" w:rsidRPr="00000000">
        <w:rPr>
          <w:rtl w:val="0"/>
        </w:rPr>
      </w:r>
    </w:p>
    <w:p w:rsidR="00000000" w:rsidDel="00000000" w:rsidP="00000000" w:rsidRDefault="00000000" w:rsidRPr="00000000" w14:paraId="0000004B">
      <w:pPr>
        <w:pageBreakBefore w:val="0"/>
        <w:spacing w:line="240" w:lineRule="auto"/>
        <w:jc w:val="center"/>
        <w:rPr/>
      </w:pPr>
      <w:bookmarkStart w:colFirst="0" w:colLast="0" w:name="_orz9vrfsh9c2" w:id="24"/>
      <w:bookmarkEnd w:id="24"/>
      <w:r w:rsidDel="00000000" w:rsidR="00000000" w:rsidRPr="00000000">
        <w:rPr>
          <w:rtl w:val="0"/>
        </w:rPr>
      </w:r>
    </w:p>
    <w:p w:rsidR="00000000" w:rsidDel="00000000" w:rsidP="00000000" w:rsidRDefault="00000000" w:rsidRPr="00000000" w14:paraId="0000004C">
      <w:pPr>
        <w:pageBreakBefore w:val="0"/>
        <w:spacing w:line="240" w:lineRule="auto"/>
        <w:jc w:val="center"/>
        <w:rPr/>
      </w:pPr>
      <w:bookmarkStart w:colFirst="0" w:colLast="0" w:name="_wztl4m60mte7" w:id="25"/>
      <w:bookmarkEnd w:id="25"/>
      <w:r w:rsidDel="00000000" w:rsidR="00000000" w:rsidRPr="00000000">
        <w:rPr>
          <w:rtl w:val="0"/>
        </w:rPr>
      </w:r>
    </w:p>
    <w:p w:rsidR="00000000" w:rsidDel="00000000" w:rsidP="00000000" w:rsidRDefault="00000000" w:rsidRPr="00000000" w14:paraId="0000004D">
      <w:pPr>
        <w:pageBreakBefore w:val="0"/>
        <w:spacing w:line="240" w:lineRule="auto"/>
        <w:jc w:val="center"/>
        <w:rPr/>
      </w:pPr>
      <w:bookmarkStart w:colFirst="0" w:colLast="0" w:name="_ynwwc5hwe56v" w:id="26"/>
      <w:bookmarkEnd w:id="26"/>
      <w:r w:rsidDel="00000000" w:rsidR="00000000" w:rsidRPr="00000000">
        <w:rPr>
          <w:rtl w:val="0"/>
        </w:rPr>
      </w:r>
    </w:p>
    <w:p w:rsidR="00000000" w:rsidDel="00000000" w:rsidP="00000000" w:rsidRDefault="00000000" w:rsidRPr="00000000" w14:paraId="0000004E">
      <w:pPr>
        <w:pageBreakBefore w:val="0"/>
        <w:spacing w:line="240" w:lineRule="auto"/>
        <w:jc w:val="center"/>
        <w:rPr/>
      </w:pPr>
      <w:bookmarkStart w:colFirst="0" w:colLast="0" w:name="_9x1hrl3as0is" w:id="27"/>
      <w:bookmarkEnd w:id="27"/>
      <w:r w:rsidDel="00000000" w:rsidR="00000000" w:rsidRPr="00000000">
        <w:rPr>
          <w:rtl w:val="0"/>
        </w:rPr>
      </w:r>
    </w:p>
    <w:p w:rsidR="00000000" w:rsidDel="00000000" w:rsidP="00000000" w:rsidRDefault="00000000" w:rsidRPr="00000000" w14:paraId="0000004F">
      <w:pPr>
        <w:pageBreakBefore w:val="0"/>
        <w:spacing w:line="240" w:lineRule="auto"/>
        <w:jc w:val="center"/>
        <w:rPr/>
      </w:pPr>
      <w:bookmarkStart w:colFirst="0" w:colLast="0" w:name="_wvsdiz25i7qw" w:id="28"/>
      <w:bookmarkEnd w:id="28"/>
      <w:r w:rsidDel="00000000" w:rsidR="00000000" w:rsidRPr="00000000">
        <w:rPr>
          <w:rtl w:val="0"/>
        </w:rPr>
      </w:r>
    </w:p>
    <w:p w:rsidR="00000000" w:rsidDel="00000000" w:rsidP="00000000" w:rsidRDefault="00000000" w:rsidRPr="00000000" w14:paraId="00000050">
      <w:pPr>
        <w:pageBreakBefore w:val="0"/>
        <w:spacing w:line="240" w:lineRule="auto"/>
        <w:jc w:val="center"/>
        <w:rPr/>
      </w:pPr>
      <w:bookmarkStart w:colFirst="0" w:colLast="0" w:name="_3105v3d4ggiu" w:id="29"/>
      <w:bookmarkEnd w:id="29"/>
      <w:r w:rsidDel="00000000" w:rsidR="00000000" w:rsidRPr="00000000">
        <w:rPr>
          <w:rtl w:val="0"/>
        </w:rPr>
      </w:r>
    </w:p>
    <w:p w:rsidR="00000000" w:rsidDel="00000000" w:rsidP="00000000" w:rsidRDefault="00000000" w:rsidRPr="00000000" w14:paraId="00000051">
      <w:pPr>
        <w:pageBreakBefore w:val="0"/>
        <w:spacing w:line="240" w:lineRule="auto"/>
        <w:jc w:val="center"/>
        <w:rPr/>
      </w:pPr>
      <w:bookmarkStart w:colFirst="0" w:colLast="0" w:name="_xml849sc3446" w:id="30"/>
      <w:bookmarkEnd w:id="30"/>
      <w:r w:rsidDel="00000000" w:rsidR="00000000" w:rsidRPr="00000000">
        <w:rPr>
          <w:rtl w:val="0"/>
        </w:rPr>
      </w:r>
    </w:p>
    <w:p w:rsidR="00000000" w:rsidDel="00000000" w:rsidP="00000000" w:rsidRDefault="00000000" w:rsidRPr="00000000" w14:paraId="00000052">
      <w:pPr>
        <w:pageBreakBefore w:val="0"/>
        <w:spacing w:line="240" w:lineRule="auto"/>
        <w:jc w:val="center"/>
        <w:rPr/>
      </w:pPr>
      <w:bookmarkStart w:colFirst="0" w:colLast="0" w:name="_m6mfcpkkmk6f" w:id="31"/>
      <w:bookmarkEnd w:id="31"/>
      <w:r w:rsidDel="00000000" w:rsidR="00000000" w:rsidRPr="00000000">
        <w:rPr>
          <w:rtl w:val="0"/>
        </w:rPr>
      </w:r>
    </w:p>
    <w:p w:rsidR="00000000" w:rsidDel="00000000" w:rsidP="00000000" w:rsidRDefault="00000000" w:rsidRPr="00000000" w14:paraId="00000053">
      <w:pPr>
        <w:pageBreakBefore w:val="0"/>
        <w:spacing w:line="240" w:lineRule="auto"/>
        <w:jc w:val="center"/>
        <w:rPr/>
      </w:pPr>
      <w:bookmarkStart w:colFirst="0" w:colLast="0" w:name="_6dyuiulkw9dh" w:id="32"/>
      <w:bookmarkEnd w:id="32"/>
      <w:r w:rsidDel="00000000" w:rsidR="00000000" w:rsidRPr="00000000">
        <w:rPr>
          <w:rtl w:val="0"/>
        </w:rPr>
      </w:r>
    </w:p>
    <w:p w:rsidR="00000000" w:rsidDel="00000000" w:rsidP="00000000" w:rsidRDefault="00000000" w:rsidRPr="00000000" w14:paraId="00000054">
      <w:pPr>
        <w:pageBreakBefore w:val="0"/>
        <w:spacing w:line="240" w:lineRule="auto"/>
        <w:jc w:val="center"/>
        <w:rPr/>
      </w:pPr>
      <w:bookmarkStart w:colFirst="0" w:colLast="0" w:name="_in2x85hl1cip" w:id="33"/>
      <w:bookmarkEnd w:id="33"/>
      <w:r w:rsidDel="00000000" w:rsidR="00000000" w:rsidRPr="00000000">
        <w:rPr>
          <w:rtl w:val="0"/>
        </w:rPr>
      </w:r>
    </w:p>
    <w:p w:rsidR="00000000" w:rsidDel="00000000" w:rsidP="00000000" w:rsidRDefault="00000000" w:rsidRPr="00000000" w14:paraId="00000055">
      <w:pPr>
        <w:pageBreakBefore w:val="0"/>
        <w:spacing w:line="240" w:lineRule="auto"/>
        <w:jc w:val="center"/>
        <w:rPr/>
      </w:pPr>
      <w:bookmarkStart w:colFirst="0" w:colLast="0" w:name="_8qh21fnuwamz" w:id="34"/>
      <w:bookmarkEnd w:id="34"/>
      <w:r w:rsidDel="00000000" w:rsidR="00000000" w:rsidRPr="00000000">
        <w:rPr>
          <w:rtl w:val="0"/>
        </w:rPr>
      </w:r>
    </w:p>
    <w:p w:rsidR="00000000" w:rsidDel="00000000" w:rsidP="00000000" w:rsidRDefault="00000000" w:rsidRPr="00000000" w14:paraId="00000056">
      <w:pPr>
        <w:pageBreakBefore w:val="0"/>
        <w:spacing w:line="240" w:lineRule="auto"/>
        <w:jc w:val="center"/>
        <w:rPr/>
      </w:pPr>
      <w:bookmarkStart w:colFirst="0" w:colLast="0" w:name="_9sxi8lob6dhn" w:id="35"/>
      <w:bookmarkEnd w:id="35"/>
      <w:r w:rsidDel="00000000" w:rsidR="00000000" w:rsidRPr="00000000">
        <w:rPr>
          <w:rtl w:val="0"/>
        </w:rPr>
      </w:r>
    </w:p>
    <w:p w:rsidR="00000000" w:rsidDel="00000000" w:rsidP="00000000" w:rsidRDefault="00000000" w:rsidRPr="00000000" w14:paraId="00000057">
      <w:pPr>
        <w:pageBreakBefore w:val="0"/>
        <w:spacing w:line="240" w:lineRule="auto"/>
        <w:jc w:val="center"/>
        <w:rPr/>
      </w:pPr>
      <w:bookmarkStart w:colFirst="0" w:colLast="0" w:name="_rb0gkqs9a3j" w:id="36"/>
      <w:bookmarkEnd w:id="36"/>
      <w:r w:rsidDel="00000000" w:rsidR="00000000" w:rsidRPr="00000000">
        <w:rPr>
          <w:rtl w:val="0"/>
        </w:rPr>
      </w:r>
    </w:p>
    <w:p w:rsidR="00000000" w:rsidDel="00000000" w:rsidP="00000000" w:rsidRDefault="00000000" w:rsidRPr="00000000" w14:paraId="00000058">
      <w:pPr>
        <w:pageBreakBefore w:val="0"/>
        <w:spacing w:line="240" w:lineRule="auto"/>
        <w:jc w:val="center"/>
        <w:rPr/>
      </w:pPr>
      <w:bookmarkStart w:colFirst="0" w:colLast="0" w:name="_2sf33gtjxr3r" w:id="37"/>
      <w:bookmarkEnd w:id="37"/>
      <w:r w:rsidDel="00000000" w:rsidR="00000000" w:rsidRPr="00000000">
        <w:rPr>
          <w:rtl w:val="0"/>
        </w:rPr>
      </w:r>
    </w:p>
    <w:p w:rsidR="00000000" w:rsidDel="00000000" w:rsidP="00000000" w:rsidRDefault="00000000" w:rsidRPr="00000000" w14:paraId="00000059">
      <w:pPr>
        <w:pageBreakBefore w:val="0"/>
        <w:spacing w:line="240" w:lineRule="auto"/>
        <w:jc w:val="center"/>
        <w:rPr/>
      </w:pPr>
      <w:bookmarkStart w:colFirst="0" w:colLast="0" w:name="_49yi7xle2lsm" w:id="38"/>
      <w:bookmarkEnd w:id="38"/>
      <w:r w:rsidDel="00000000" w:rsidR="00000000" w:rsidRPr="00000000">
        <w:rPr>
          <w:rtl w:val="0"/>
        </w:rPr>
      </w:r>
    </w:p>
    <w:p w:rsidR="00000000" w:rsidDel="00000000" w:rsidP="00000000" w:rsidRDefault="00000000" w:rsidRPr="00000000" w14:paraId="0000005A">
      <w:pPr>
        <w:pageBreakBefore w:val="0"/>
        <w:spacing w:line="240" w:lineRule="auto"/>
        <w:jc w:val="center"/>
        <w:rPr/>
      </w:pPr>
      <w:bookmarkStart w:colFirst="0" w:colLast="0" w:name="_kjdkoxnlavkl" w:id="39"/>
      <w:bookmarkEnd w:id="39"/>
      <w:r w:rsidDel="00000000" w:rsidR="00000000" w:rsidRPr="00000000">
        <w:rPr>
          <w:rtl w:val="0"/>
        </w:rPr>
      </w:r>
    </w:p>
    <w:p w:rsidR="00000000" w:rsidDel="00000000" w:rsidP="00000000" w:rsidRDefault="00000000" w:rsidRPr="00000000" w14:paraId="0000005B">
      <w:pPr>
        <w:pageBreakBefore w:val="0"/>
        <w:spacing w:line="240" w:lineRule="auto"/>
        <w:jc w:val="center"/>
        <w:rPr/>
      </w:pPr>
      <w:bookmarkStart w:colFirst="0" w:colLast="0" w:name="_g4m5zsgg9jjl" w:id="40"/>
      <w:bookmarkEnd w:id="40"/>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3960"/>
        <w:gridCol w:w="3960"/>
        <w:tblGridChange w:id="0">
          <w:tblGrid>
            <w:gridCol w:w="1425"/>
            <w:gridCol w:w="3960"/>
            <w:gridCol w:w="3960"/>
          </w:tblGrid>
        </w:tblGridChange>
      </w:tblGrid>
      <w:tr>
        <w:trPr>
          <w:cantSplit w:val="0"/>
          <w:trHeight w:val="424.98046875" w:hRule="atLeast"/>
          <w:tblHeader w:val="0"/>
        </w:trP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color w:val="ffffff"/>
                <w:sz w:val="28"/>
                <w:szCs w:val="28"/>
                <w:shd w:fill="202020" w:val="clear"/>
              </w:rPr>
            </w:pPr>
            <w:r w:rsidDel="00000000" w:rsidR="00000000" w:rsidRPr="00000000">
              <w:rPr>
                <w:b w:val="1"/>
                <w:color w:val="ffffff"/>
                <w:sz w:val="28"/>
                <w:szCs w:val="28"/>
                <w:shd w:fill="202020" w:val="clear"/>
                <w:rtl w:val="0"/>
              </w:rPr>
              <w:t xml:space="preserve">COVID-19 Oral Antiviral Comparison Chart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sz w:val="20"/>
                <w:szCs w:val="20"/>
              </w:rPr>
            </w:pPr>
            <w:hyperlink r:id="rId24">
              <w:r w:rsidDel="00000000" w:rsidR="00000000" w:rsidRPr="00000000">
                <w:rPr>
                  <w:b w:val="1"/>
                  <w:color w:val="1155cc"/>
                  <w:sz w:val="20"/>
                  <w:szCs w:val="20"/>
                  <w:u w:val="single"/>
                  <w:rtl w:val="0"/>
                </w:rPr>
                <w:t xml:space="preserve">Paxlovid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20"/>
                <w:szCs w:val="20"/>
              </w:rPr>
            </w:pPr>
            <w:hyperlink r:id="rId25">
              <w:r w:rsidDel="00000000" w:rsidR="00000000" w:rsidRPr="00000000">
                <w:rPr>
                  <w:b w:val="1"/>
                  <w:color w:val="1155cc"/>
                  <w:sz w:val="20"/>
                  <w:szCs w:val="20"/>
                  <w:u w:val="single"/>
                  <w:rtl w:val="0"/>
                </w:rPr>
                <w:t xml:space="preserve">Molnupiravir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sz w:val="20"/>
                <w:szCs w:val="20"/>
              </w:rPr>
            </w:pPr>
            <w:r w:rsidDel="00000000" w:rsidR="00000000" w:rsidRPr="00000000">
              <w:rPr>
                <w:b w:val="1"/>
                <w:sz w:val="20"/>
                <w:szCs w:val="20"/>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18+ (bone/cartilage damage in peds)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sz w:val="20"/>
                <w:szCs w:val="20"/>
              </w:rPr>
            </w:pPr>
            <w:r w:rsidDel="00000000" w:rsidR="00000000" w:rsidRPr="00000000">
              <w:rPr>
                <w:b w:val="1"/>
                <w:sz w:val="20"/>
                <w:szCs w:val="20"/>
                <w:rtl w:val="0"/>
              </w:rPr>
              <w:t xml:space="preserve">Indication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color w:val="202020"/>
                <w:sz w:val="20"/>
                <w:szCs w:val="20"/>
                <w:highlight w:val="white"/>
                <w:rtl w:val="0"/>
              </w:rPr>
              <w:t xml:space="preserve">Treatment of mild-to-moderate COVID-19 (not post-exposure prophylaxis) in those at high-risk of developing severe COVID (must start w/in 5 days of symptom onset)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rPr>
            </w:pPr>
            <w:r w:rsidDel="00000000" w:rsidR="00000000" w:rsidRPr="00000000">
              <w:rPr>
                <w:color w:val="202020"/>
                <w:sz w:val="20"/>
                <w:szCs w:val="20"/>
                <w:highlight w:val="white"/>
                <w:rtl w:val="0"/>
              </w:rPr>
              <w:t xml:space="preserve">Treatment of mild-to-moderate COVID-19 (not post-exposure prophylaxis) in those at high-risk of developing severe COVID (must start w/in 5 days of symptom onset)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0"/>
                <w:szCs w:val="20"/>
              </w:rPr>
            </w:pPr>
            <w:r w:rsidDel="00000000" w:rsidR="00000000" w:rsidRPr="00000000">
              <w:rPr>
                <w:b w:val="1"/>
                <w:sz w:val="20"/>
                <w:szCs w:val="20"/>
                <w:rtl w:val="0"/>
              </w:rPr>
              <w:t xml:space="preserve">Dose/Administration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300mg nirmatrelvir (two 150mg tablets) with 100mg ritonavir (one 100mg tablet) - all three tablets taken together every 12 hours for 5 days with or without 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800 mg (four 200 mg capsules) taken orally every 12 hours for 5 days with or without food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0"/>
                <w:szCs w:val="20"/>
              </w:rPr>
            </w:pPr>
            <w:r w:rsidDel="00000000" w:rsidR="00000000" w:rsidRPr="00000000">
              <w:rPr>
                <w:b w:val="1"/>
                <w:sz w:val="20"/>
                <w:szCs w:val="20"/>
                <w:rtl w:val="0"/>
              </w:rPr>
              <w:t xml:space="preserve">Renal Dose 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color w:val="202020"/>
                <w:sz w:val="20"/>
                <w:szCs w:val="20"/>
                <w:highlight w:val="white"/>
              </w:rPr>
            </w:pPr>
            <w:r w:rsidDel="00000000" w:rsidR="00000000" w:rsidRPr="00000000">
              <w:rPr>
                <w:rFonts w:ascii="Arial Unicode MS" w:cs="Arial Unicode MS" w:eastAsia="Arial Unicode MS" w:hAnsi="Arial Unicode MS"/>
                <w:color w:val="202020"/>
                <w:sz w:val="20"/>
                <w:szCs w:val="20"/>
                <w:highlight w:val="white"/>
                <w:rtl w:val="0"/>
              </w:rPr>
              <w:t xml:space="preserve">Yes - eGFR ≥30 to &lt;60 mL/min: </w:t>
            </w:r>
            <w:r w:rsidDel="00000000" w:rsidR="00000000" w:rsidRPr="00000000">
              <w:rPr>
                <w:b w:val="1"/>
                <w:color w:val="202020"/>
                <w:sz w:val="20"/>
                <w:szCs w:val="20"/>
                <w:highlight w:val="white"/>
                <w:rtl w:val="0"/>
              </w:rPr>
              <w:t xml:space="preserve">150 mg nirmatrelvir (one 150 mg tablet)</w:t>
            </w:r>
            <w:r w:rsidDel="00000000" w:rsidR="00000000" w:rsidRPr="00000000">
              <w:rPr>
                <w:color w:val="202020"/>
                <w:sz w:val="20"/>
                <w:szCs w:val="20"/>
                <w:highlight w:val="white"/>
                <w:rtl w:val="0"/>
              </w:rPr>
              <w:t xml:space="preserve"> with 100 mg ritonavir (one 100 mg tablet); eGFR &lt;30: not recommended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sz w:val="20"/>
                <w:szCs w:val="20"/>
              </w:rPr>
            </w:pPr>
            <w:r w:rsidDel="00000000" w:rsidR="00000000" w:rsidRPr="00000000">
              <w:rPr>
                <w:b w:val="1"/>
                <w:sz w:val="20"/>
                <w:szCs w:val="20"/>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color w:val="202020"/>
                <w:sz w:val="20"/>
                <w:szCs w:val="20"/>
                <w:highlight w:val="white"/>
              </w:rPr>
            </w:pPr>
            <w:r w:rsidDel="00000000" w:rsidR="00000000" w:rsidRPr="00000000">
              <w:rPr>
                <w:color w:val="202020"/>
                <w:sz w:val="20"/>
                <w:szCs w:val="20"/>
                <w:highlight w:val="white"/>
                <w:rtl w:val="0"/>
              </w:rPr>
              <w:t xml:space="preserve">30 tablets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0"/>
                <w:szCs w:val="20"/>
              </w:rPr>
            </w:pPr>
            <w:r w:rsidDel="00000000" w:rsidR="00000000" w:rsidRPr="00000000">
              <w:rPr>
                <w:sz w:val="20"/>
                <w:szCs w:val="20"/>
                <w:rtl w:val="0"/>
              </w:rPr>
              <w:t xml:space="preserve">40 capsules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sz w:val="20"/>
                <w:szCs w:val="20"/>
              </w:rPr>
            </w:pPr>
            <w:r w:rsidDel="00000000" w:rsidR="00000000" w:rsidRPr="00000000">
              <w:rPr>
                <w:b w:val="1"/>
                <w:sz w:val="20"/>
                <w:szCs w:val="20"/>
                <w:rtl w:val="0"/>
              </w:rPr>
              <w:t xml:space="preserve">MOA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0"/>
                <w:szCs w:val="20"/>
              </w:rPr>
            </w:pPr>
            <w:r w:rsidDel="00000000" w:rsidR="00000000" w:rsidRPr="00000000">
              <w:rPr>
                <w:color w:val="202020"/>
                <w:sz w:val="20"/>
                <w:szCs w:val="20"/>
                <w:highlight w:val="white"/>
                <w:rtl w:val="0"/>
              </w:rPr>
              <w:t xml:space="preserve">Nirmatrelvir inhibits a COVID-19 protein to stop the virus from replicating; ritonavir slows down nirmatrelvir’s breakdown to help it remain in the body for a longer period at higher concentrations.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Incorporates into the viral DNA, causing viral errors, which stops the virus from replicating.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sz w:val="20"/>
                <w:szCs w:val="20"/>
              </w:rPr>
            </w:pPr>
            <w:r w:rsidDel="00000000" w:rsidR="00000000" w:rsidRPr="00000000">
              <w:rPr>
                <w:b w:val="1"/>
                <w:sz w:val="20"/>
                <w:szCs w:val="20"/>
                <w:rtl w:val="0"/>
              </w:rPr>
              <w:t xml:space="preserve">Contraindications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Co-administration with certain CYP3A medications (e.g. alfuzosin, amiodarone, simvastatin, colchicine, midazolam), significant hypersensitivity to either drug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None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sz w:val="20"/>
                <w:szCs w:val="20"/>
              </w:rPr>
            </w:pPr>
            <w:r w:rsidDel="00000000" w:rsidR="00000000" w:rsidRPr="00000000">
              <w:rPr>
                <w:b w:val="1"/>
                <w:sz w:val="20"/>
                <w:szCs w:val="20"/>
                <w:rtl w:val="0"/>
              </w:rPr>
              <w:t xml:space="preserve">Drug Interactions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Several (reference </w:t>
            </w:r>
            <w:hyperlink r:id="rId26">
              <w:r w:rsidDel="00000000" w:rsidR="00000000" w:rsidRPr="00000000">
                <w:rPr>
                  <w:color w:val="1155cc"/>
                  <w:sz w:val="20"/>
                  <w:szCs w:val="20"/>
                  <w:u w:val="single"/>
                  <w:rtl w:val="0"/>
                </w:rPr>
                <w:t xml:space="preserve">EUA Fact Sheet</w:t>
              </w:r>
            </w:hyperlink>
            <w:r w:rsidDel="00000000" w:rsidR="00000000" w:rsidRPr="00000000">
              <w:rPr>
                <w:sz w:val="20"/>
                <w:szCs w:val="20"/>
                <w:rtl w:val="0"/>
              </w:rPr>
              <w:t xml:space="preserve"> for guidance on each)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None identified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sz w:val="20"/>
                <w:szCs w:val="20"/>
              </w:rPr>
            </w:pPr>
            <w:r w:rsidDel="00000000" w:rsidR="00000000" w:rsidRPr="00000000">
              <w:rPr>
                <w:b w:val="1"/>
                <w:sz w:val="20"/>
                <w:szCs w:val="20"/>
                <w:rtl w:val="0"/>
              </w:rPr>
              <w:t xml:space="preserve">Warnings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Several drug interactions, potential for hepatotoxicity, HIV-1 drug resistance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Embryo-fetal toxicity: not recommended for use during pregnancy (must use effective contraception for</w:t>
            </w:r>
          </w:p>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duration of treatment and for 4 days after the last dose), bone and cartilage toxicity: not authorized for use in patients less than 18 years of age because it may affect bone and cartilage growth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20"/>
                <w:szCs w:val="20"/>
              </w:rPr>
            </w:pPr>
            <w:r w:rsidDel="00000000" w:rsidR="00000000" w:rsidRPr="00000000">
              <w:rPr>
                <w:b w:val="1"/>
                <w:sz w:val="20"/>
                <w:szCs w:val="20"/>
                <w:rtl w:val="0"/>
              </w:rPr>
              <w:t xml:space="preserve">Adverse Reactions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Dysgeusia (distorted sense of taste), diarrhea, hypertension, and myalgia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Diarrhea, nausea, and dizziness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sz w:val="20"/>
                <w:szCs w:val="20"/>
              </w:rPr>
            </w:pPr>
            <w:r w:rsidDel="00000000" w:rsidR="00000000" w:rsidRPr="00000000">
              <w:rPr>
                <w:b w:val="1"/>
                <w:sz w:val="20"/>
                <w:szCs w:val="20"/>
                <w:rtl w:val="0"/>
              </w:rPr>
              <w:t xml:space="preserve">Missed Dose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Within 8 hours of scheduled dose: take </w:t>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&gt;8 hours of scheduled dose: skip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Within 10 hours of scheduled dose: take </w:t>
            </w:r>
          </w:p>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&gt;10 hours of scheduled dose: skip</w:t>
            </w:r>
          </w:p>
        </w:tc>
      </w:tr>
    </w:tbl>
    <w:p w:rsidR="00000000" w:rsidDel="00000000" w:rsidP="00000000" w:rsidRDefault="00000000" w:rsidRPr="00000000" w14:paraId="00000087">
      <w:pPr>
        <w:rPr/>
      </w:pPr>
      <w:r w:rsidDel="00000000" w:rsidR="00000000" w:rsidRPr="00000000">
        <w:rPr>
          <w:rtl w:val="0"/>
        </w:rPr>
      </w:r>
    </w:p>
    <w:sectPr>
      <w:headerReference r:id="rId27" w:type="default"/>
      <w:footerReference r:id="rId28" w:type="default"/>
      <w:pgSz w:h="15840" w:w="12240" w:orient="portrait"/>
      <w:pgMar w:bottom="1440" w:top="18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jc w:val="left"/>
      <w:rPr>
        <w:i w:val="1"/>
        <w:sz w:val="18"/>
        <w:szCs w:val="18"/>
      </w:rPr>
    </w:pPr>
    <w:r w:rsidDel="00000000" w:rsidR="00000000" w:rsidRPr="00000000">
      <w:rPr>
        <w:rtl w:val="0"/>
      </w:rPr>
    </w:r>
  </w:p>
  <w:p w:rsidR="00000000" w:rsidDel="00000000" w:rsidP="00000000" w:rsidRDefault="00000000" w:rsidRPr="00000000" w14:paraId="0000008A">
    <w:pPr>
      <w:pageBreakBefore w:val="0"/>
      <w:jc w:val="center"/>
      <w:rPr>
        <w:sz w:val="16"/>
        <w:szCs w:val="16"/>
      </w:rPr>
    </w:pPr>
    <w:r w:rsidDel="00000000" w:rsidR="00000000" w:rsidRPr="00000000">
      <w:rPr>
        <w:rtl w:val="0"/>
      </w:rPr>
    </w:r>
  </w:p>
  <w:p w:rsidR="00000000" w:rsidDel="00000000" w:rsidP="00000000" w:rsidRDefault="00000000" w:rsidRPr="00000000" w14:paraId="0000008B">
    <w:pPr>
      <w:pageBreakBefore w:val="0"/>
      <w:jc w:val="center"/>
      <w:rPr>
        <w:sz w:val="16"/>
        <w:szCs w:val="16"/>
      </w:rPr>
    </w:pPr>
    <w:r w:rsidDel="00000000" w:rsidR="00000000" w:rsidRPr="00000000">
      <w:rPr>
        <w:sz w:val="16"/>
        <w:szCs w:val="16"/>
        <w:rtl w:val="0"/>
      </w:rPr>
      <w:t xml:space="preserve">COVID-19 Oral Antiviral Workflow 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3429000</wp:posOffset>
          </wp:positionH>
          <wp:positionV relativeFrom="paragraph">
            <wp:posOffset>-142874</wp:posOffset>
          </wp:positionV>
          <wp:extent cx="2571750" cy="752475"/>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71750" cy="752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da.gov/safety/medwatch-fda-safety-information-and-adverse-event-reporting-program" TargetMode="External"/><Relationship Id="rId22" Type="http://schemas.openxmlformats.org/officeDocument/2006/relationships/hyperlink" Target="https://vpop.cdc.gov/provider/signin" TargetMode="External"/><Relationship Id="rId21" Type="http://schemas.openxmlformats.org/officeDocument/2006/relationships/hyperlink" Target="https://www.fda.gov/media/76299/download" TargetMode="External"/><Relationship Id="rId24" Type="http://schemas.openxmlformats.org/officeDocument/2006/relationships/hyperlink" Target="https://www.fda.gov/media/155050/download"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dhhs.us4.list-manage.com/track/click?u=58ec19aaea4630b1baad0e5e4&amp;id=466e35fb0c&amp;e=b6c0af2b57" TargetMode="External"/><Relationship Id="rId26" Type="http://schemas.openxmlformats.org/officeDocument/2006/relationships/hyperlink" Target="https://www.fda.gov/media/155050/download" TargetMode="External"/><Relationship Id="rId25" Type="http://schemas.openxmlformats.org/officeDocument/2006/relationships/hyperlink" Target="https://www.fda.gov/media/155054/download?utm_source=CVMS+Providers&amp;utm_campaign=53f1304cf4-EMAIL_CAMPAIGN_2021_09_16_10_44_COPY_01&amp;utm_medium=email&amp;utm_term=0_0c29f7886c-53f1304cf4-82084850&amp;mc_cid=53f1304cf4&amp;mc_eid=1d23488d1f"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files.constantcontact.com/62111018601/d577c65c-2a69-42ad-b944-2b70aa590964.pdf" TargetMode="External"/><Relationship Id="rId7" Type="http://schemas.openxmlformats.org/officeDocument/2006/relationships/hyperlink" Target="https://ncpa.org/sites/default/files/2022-01/COVID-19_antivirals_billing_for_NCPA_members.pdf" TargetMode="External"/><Relationship Id="rId8" Type="http://schemas.openxmlformats.org/officeDocument/2006/relationships/hyperlink" Target="https://vpop.cdc.gov/provider/signin" TargetMode="External"/><Relationship Id="rId11" Type="http://schemas.openxmlformats.org/officeDocument/2006/relationships/hyperlink" Target="https://www.covid19treatmentguidelines.nih.gov/therapies/statement-on-patient-prioritization-for-outpatient-therapies/" TargetMode="External"/><Relationship Id="rId10" Type="http://schemas.openxmlformats.org/officeDocument/2006/relationships/hyperlink" Target="https://covid19.ncdhhs.gov/media/1135/download" TargetMode="External"/><Relationship Id="rId13" Type="http://schemas.openxmlformats.org/officeDocument/2006/relationships/hyperlink" Target="https://www.fda.gov/media/155050/download" TargetMode="External"/><Relationship Id="rId12" Type="http://schemas.openxmlformats.org/officeDocument/2006/relationships/hyperlink" Target="https://www.cdc.gov/coronavirus/2019-ncov/hcp/clinical-care/underlyingconditions.html" TargetMode="External"/><Relationship Id="rId15" Type="http://schemas.openxmlformats.org/officeDocument/2006/relationships/hyperlink" Target="https://www.fda.gov/media/155075/download" TargetMode="External"/><Relationship Id="rId14" Type="http://schemas.openxmlformats.org/officeDocument/2006/relationships/hyperlink" Target="https://www.fda.gov/media/155051/download" TargetMode="External"/><Relationship Id="rId17" Type="http://schemas.openxmlformats.org/officeDocument/2006/relationships/hyperlink" Target="https://www.fda.gov/media/155054/download" TargetMode="External"/><Relationship Id="rId16" Type="http://schemas.openxmlformats.org/officeDocument/2006/relationships/hyperlink" Target="https://www.fda.gov/media/155118/download" TargetMode="External"/><Relationship Id="rId19" Type="http://schemas.openxmlformats.org/officeDocument/2006/relationships/hyperlink" Target="https://www.fda.gov/media/155115/download" TargetMode="External"/><Relationship Id="rId18" Type="http://schemas.openxmlformats.org/officeDocument/2006/relationships/hyperlink" Target="https://www.fda.gov/media/155055/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